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41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Humanity is so adaptable, my mother would say. Truly amazing, what people can get used to, as long as there are a few compensations.</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Offred’s Mother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DB14E" w:val="clear"/>
                  <w:vAlign w:val="center"/>
                </w:tcPr>
                <w:p>
                  <w:pPr>
                    <w:pStyle w:val="TableContents"/>
                    <w:jc w:val="center"/>
                    <w:rPr>
                      <w:color w:val="FFFFFF"/>
                    </w:rPr>
                  </w:pPr>
                  <w:r>
                    <w:rPr>
                      <w:color w:val="FFFFFF"/>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